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DE" w:rsidRDefault="000C769C">
      <w:pPr>
        <w:rPr>
          <w:sz w:val="36"/>
          <w:szCs w:val="36"/>
        </w:rPr>
      </w:pPr>
      <w:r>
        <w:rPr>
          <w:sz w:val="36"/>
          <w:szCs w:val="36"/>
        </w:rPr>
        <w:t>VI. Kongres</w:t>
      </w:r>
      <w:r w:rsidR="00292048" w:rsidRPr="00292048">
        <w:rPr>
          <w:sz w:val="36"/>
          <w:szCs w:val="36"/>
        </w:rPr>
        <w:t xml:space="preserve"> perioperačních sester </w:t>
      </w:r>
      <w:r w:rsidR="00BA25C5">
        <w:rPr>
          <w:sz w:val="36"/>
          <w:szCs w:val="36"/>
        </w:rPr>
        <w:t>2-3.</w:t>
      </w:r>
      <w:r w:rsidR="003E4944">
        <w:rPr>
          <w:sz w:val="36"/>
          <w:szCs w:val="36"/>
        </w:rPr>
        <w:t xml:space="preserve"> </w:t>
      </w:r>
      <w:r w:rsidR="00BA25C5">
        <w:rPr>
          <w:sz w:val="36"/>
          <w:szCs w:val="36"/>
        </w:rPr>
        <w:t>6.</w:t>
      </w:r>
      <w:r w:rsidR="003E4944">
        <w:rPr>
          <w:sz w:val="36"/>
          <w:szCs w:val="36"/>
        </w:rPr>
        <w:t xml:space="preserve"> </w:t>
      </w:r>
      <w:r w:rsidR="00BA25C5">
        <w:rPr>
          <w:sz w:val="36"/>
          <w:szCs w:val="36"/>
        </w:rPr>
        <w:t>2017</w:t>
      </w:r>
      <w:r>
        <w:rPr>
          <w:sz w:val="36"/>
          <w:szCs w:val="36"/>
        </w:rPr>
        <w:t xml:space="preserve"> Olomouc</w:t>
      </w:r>
    </w:p>
    <w:p w:rsidR="004321DE" w:rsidRPr="00292048" w:rsidRDefault="004321DE">
      <w:pPr>
        <w:rPr>
          <w:sz w:val="36"/>
          <w:szCs w:val="36"/>
        </w:rPr>
      </w:pPr>
    </w:p>
    <w:p w:rsidR="00F860F9" w:rsidRDefault="00D839E9" w:rsidP="00F860F9">
      <w:pPr>
        <w:jc w:val="both"/>
      </w:pPr>
      <w:r>
        <w:t xml:space="preserve">V rámci </w:t>
      </w:r>
      <w:r w:rsidR="000C769C">
        <w:t>VI. Kongresu</w:t>
      </w:r>
      <w:r>
        <w:t xml:space="preserve"> perioperačních sester se uskutečnil </w:t>
      </w:r>
      <w:r w:rsidR="00BA25C5">
        <w:t>již druhý</w:t>
      </w:r>
      <w:r>
        <w:t xml:space="preserve"> Interaktivní blok zaměřený na poskytování perioperační péče. Toto průzkumné </w:t>
      </w:r>
      <w:r w:rsidR="00547494">
        <w:t xml:space="preserve">šetření </w:t>
      </w:r>
      <w:r>
        <w:t>se</w:t>
      </w:r>
      <w:r w:rsidR="00547494">
        <w:t xml:space="preserve"> uskutečnilo</w:t>
      </w:r>
      <w:r>
        <w:t xml:space="preserve"> formou dotazník</w:t>
      </w:r>
      <w:r w:rsidR="00547494">
        <w:t>u, na který účastníci odpovídali za pomoci elektronického hlasovacího zařízení.  Tímto způsobem realizace byla prezentována aktuální informac</w:t>
      </w:r>
      <w:r w:rsidR="00EB4416">
        <w:t>e</w:t>
      </w:r>
      <w:r w:rsidR="00547494">
        <w:t xml:space="preserve"> o získaných odpovědích na jednotlivé otázky a zároveň i umožnil</w:t>
      </w:r>
      <w:r w:rsidR="00EB4416">
        <w:t>a</w:t>
      </w:r>
      <w:r w:rsidR="00547494">
        <w:t xml:space="preserve"> okamžitou diskusi k dané problematice.</w:t>
      </w:r>
      <w:r w:rsidR="0089623E">
        <w:t xml:space="preserve"> </w:t>
      </w:r>
      <w:r>
        <w:t xml:space="preserve">Z celkového počtu </w:t>
      </w:r>
      <w:r w:rsidR="00BA25C5">
        <w:t xml:space="preserve">152 </w:t>
      </w:r>
      <w:r>
        <w:t>účastníků</w:t>
      </w:r>
      <w:r w:rsidR="00547494">
        <w:t xml:space="preserve"> </w:t>
      </w:r>
      <w:r w:rsidR="0089623E">
        <w:t>konference</w:t>
      </w:r>
      <w:r w:rsidR="00751F29">
        <w:t>, v roce 2016 to bylo 167 účastníků</w:t>
      </w:r>
      <w:r w:rsidR="0089623E">
        <w:t xml:space="preserve"> se tohoto bloku účastnilo </w:t>
      </w:r>
      <w:r w:rsidR="00BA25C5">
        <w:t>65</w:t>
      </w:r>
      <w:r w:rsidR="0089623E">
        <w:t xml:space="preserve"> hlasujících</w:t>
      </w:r>
      <w:r w:rsidR="00BA25C5">
        <w:t xml:space="preserve"> dle odpovědí na otázku číslo 1</w:t>
      </w:r>
      <w:r w:rsidR="0089623E">
        <w:t xml:space="preserve">. </w:t>
      </w:r>
      <w:r w:rsidR="00751F29">
        <w:t>V roce 2016 odpovědělo na stejnou otázku 77 účastníků.</w:t>
      </w:r>
      <w:r w:rsidR="00FE6F97">
        <w:t xml:space="preserve"> </w:t>
      </w:r>
      <w:r w:rsidR="0089623E">
        <w:t xml:space="preserve">Počet hlasujících u jednotlivých otázek je rozdílný. Důvodem je jednak téma položené otázky a také skutečnost, že ne na všechny otázky chtěli účastníci odpovědět. </w:t>
      </w:r>
      <w:r w:rsidR="006D7743">
        <w:t xml:space="preserve">Autoři tohoto projektu si jsou vědomi, že definování některých otázek </w:t>
      </w:r>
      <w:r w:rsidR="00EB4416">
        <w:t>nemusí zcela jednoznačně vystihovat dotazovanou problematiku</w:t>
      </w:r>
      <w:r w:rsidR="00BA25C5">
        <w:t>. I</w:t>
      </w:r>
      <w:r w:rsidR="00EB4416">
        <w:t xml:space="preserve"> tak </w:t>
      </w:r>
      <w:r w:rsidR="00BA25C5">
        <w:t>jsou získané odpovědi zajímavé pro získání představy o tom</w:t>
      </w:r>
      <w:r w:rsidR="000C769C">
        <w:t>,</w:t>
      </w:r>
      <w:r w:rsidR="00BA25C5">
        <w:t xml:space="preserve"> jak perioperační sestry vnímají postavení sester v</w:t>
      </w:r>
      <w:r w:rsidR="000C769C">
        <w:t> </w:t>
      </w:r>
      <w:r w:rsidR="00BA25C5">
        <w:t>ČR</w:t>
      </w:r>
      <w:r w:rsidR="000C769C">
        <w:t>,</w:t>
      </w:r>
      <w:r w:rsidR="00BA25C5">
        <w:t xml:space="preserve"> a také o zajištění bezpečnosti zaměstnanců</w:t>
      </w:r>
      <w:r w:rsidR="00546244">
        <w:t>. V</w:t>
      </w:r>
      <w:r w:rsidR="00F860F9">
        <w:t> </w:t>
      </w:r>
      <w:r w:rsidR="00546244">
        <w:t>následující</w:t>
      </w:r>
      <w:r w:rsidR="00F860F9">
        <w:t xml:space="preserve"> části</w:t>
      </w:r>
      <w:r w:rsidR="00546244">
        <w:t xml:space="preserve"> jsou uvedeny pouze některé výsledky dotazníkového šetření</w:t>
      </w:r>
      <w:r w:rsidR="004321DE">
        <w:t xml:space="preserve">. </w:t>
      </w:r>
      <w:r w:rsidR="00BA25C5">
        <w:t xml:space="preserve">Pokud byla položená stejná otázka i v roce 2016, potom je uvedeno srovnání získaných odpovědí. </w:t>
      </w:r>
      <w:r w:rsidR="00F860F9">
        <w:t xml:space="preserve">Výsledky a odpovědi si určitě každý vyhodnotí </w:t>
      </w:r>
      <w:r w:rsidR="00A231A8">
        <w:t>sám, nicméně</w:t>
      </w:r>
      <w:r w:rsidR="00F860F9">
        <w:t xml:space="preserve"> s</w:t>
      </w:r>
      <w:r w:rsidR="00963D7B">
        <w:t>i</w:t>
      </w:r>
      <w:r w:rsidR="00F860F9">
        <w:t xml:space="preserve"> dovolíme drobné komentáře. </w:t>
      </w:r>
    </w:p>
    <w:p w:rsidR="00F860F9" w:rsidRDefault="00F860F9" w:rsidP="0089623E">
      <w:pPr>
        <w:jc w:val="both"/>
      </w:pPr>
    </w:p>
    <w:p w:rsidR="0089623E" w:rsidRPr="00672742" w:rsidRDefault="00EB4416" w:rsidP="0089623E">
      <w:pPr>
        <w:jc w:val="both"/>
        <w:rPr>
          <w:b/>
          <w:bCs/>
          <w:u w:val="single"/>
        </w:rPr>
      </w:pPr>
      <w:r w:rsidRPr="00672742">
        <w:rPr>
          <w:b/>
          <w:bCs/>
          <w:u w:val="single"/>
        </w:rPr>
        <w:t>Pracujete na operačních sálech</w:t>
      </w:r>
    </w:p>
    <w:p w:rsidR="003E4944" w:rsidRPr="003E4944" w:rsidRDefault="00BA25C5" w:rsidP="003E4944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74FB0BB4" wp14:editId="5DFCE350">
            <wp:extent cx="5086350" cy="3181350"/>
            <wp:effectExtent l="0" t="0" r="19050" b="190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6244" w:rsidRDefault="00BA25C5">
      <w:pPr>
        <w:rPr>
          <w:bCs/>
          <w:lang w:val="pl-PL"/>
        </w:rPr>
      </w:pPr>
      <w:r>
        <w:rPr>
          <w:bCs/>
          <w:lang w:val="pl-PL"/>
        </w:rPr>
        <w:t>Stejně jako v roce 2016 p</w:t>
      </w:r>
      <w:r w:rsidR="004321DE" w:rsidRPr="004321DE">
        <w:rPr>
          <w:bCs/>
          <w:lang w:val="pl-PL"/>
        </w:rPr>
        <w:t>řevaha</w:t>
      </w:r>
      <w:r w:rsidR="004321DE">
        <w:rPr>
          <w:bCs/>
          <w:lang w:val="pl-PL"/>
        </w:rPr>
        <w:t xml:space="preserve"> h</w:t>
      </w:r>
      <w:r w:rsidR="004321DE" w:rsidRPr="004321DE">
        <w:rPr>
          <w:bCs/>
          <w:lang w:val="pl-PL"/>
        </w:rPr>
        <w:t>l</w:t>
      </w:r>
      <w:r w:rsidR="004321DE">
        <w:rPr>
          <w:bCs/>
          <w:lang w:val="pl-PL"/>
        </w:rPr>
        <w:t>a</w:t>
      </w:r>
      <w:r w:rsidR="004321DE" w:rsidRPr="004321DE">
        <w:rPr>
          <w:bCs/>
          <w:lang w:val="pl-PL"/>
        </w:rPr>
        <w:t>sující</w:t>
      </w:r>
      <w:r>
        <w:rPr>
          <w:bCs/>
          <w:lang w:val="pl-PL"/>
        </w:rPr>
        <w:t>c</w:t>
      </w:r>
      <w:r w:rsidR="004321DE" w:rsidRPr="004321DE">
        <w:rPr>
          <w:bCs/>
          <w:lang w:val="pl-PL"/>
        </w:rPr>
        <w:t>h vyko</w:t>
      </w:r>
      <w:r w:rsidR="00C9207F">
        <w:rPr>
          <w:bCs/>
          <w:lang w:val="pl-PL"/>
        </w:rPr>
        <w:t>nává činnosti periope</w:t>
      </w:r>
      <w:r w:rsidR="004321DE" w:rsidRPr="004321DE">
        <w:rPr>
          <w:bCs/>
          <w:lang w:val="pl-PL"/>
        </w:rPr>
        <w:t xml:space="preserve">rační </w:t>
      </w:r>
      <w:r w:rsidR="004321DE">
        <w:rPr>
          <w:bCs/>
          <w:lang w:val="pl-PL"/>
        </w:rPr>
        <w:t>p</w:t>
      </w:r>
      <w:r w:rsidR="004321DE" w:rsidRPr="004321DE">
        <w:rPr>
          <w:bCs/>
          <w:lang w:val="pl-PL"/>
        </w:rPr>
        <w:t xml:space="preserve">éče </w:t>
      </w:r>
      <w:r w:rsidR="004321DE">
        <w:rPr>
          <w:bCs/>
          <w:lang w:val="pl-PL"/>
        </w:rPr>
        <w:t xml:space="preserve"> na centrálních sálech. Výsledek odpovídá současné snaze centralizovat odborné služby za účelem efektivního  využití provozních prostředků. </w:t>
      </w:r>
    </w:p>
    <w:p w:rsidR="00751F29" w:rsidRDefault="00751F29">
      <w:pPr>
        <w:rPr>
          <w:bCs/>
          <w:lang w:val="pl-PL"/>
        </w:rPr>
      </w:pPr>
    </w:p>
    <w:p w:rsidR="00751F29" w:rsidRDefault="00751F29">
      <w:pPr>
        <w:rPr>
          <w:bCs/>
          <w:lang w:val="pl-PL"/>
        </w:rPr>
      </w:pPr>
    </w:p>
    <w:p w:rsidR="00751F29" w:rsidRDefault="00751F29">
      <w:pPr>
        <w:rPr>
          <w:bCs/>
          <w:lang w:val="pl-PL"/>
        </w:rPr>
      </w:pPr>
    </w:p>
    <w:p w:rsidR="00751F29" w:rsidRDefault="00751F29">
      <w:pPr>
        <w:rPr>
          <w:bCs/>
          <w:lang w:val="pl-PL"/>
        </w:rPr>
      </w:pPr>
      <w:r w:rsidRPr="00672742">
        <w:rPr>
          <w:b/>
          <w:bCs/>
          <w:u w:val="single"/>
          <w:lang w:val="pl-PL"/>
        </w:rPr>
        <w:t>Délka praxe na operačních sálech</w:t>
      </w:r>
    </w:p>
    <w:p w:rsidR="00546244" w:rsidRPr="00672742" w:rsidRDefault="003E4944">
      <w:pPr>
        <w:rPr>
          <w:u w:val="single"/>
        </w:rPr>
      </w:pPr>
      <w:r>
        <w:rPr>
          <w:noProof/>
          <w:u w:val="single"/>
          <w:lang w:eastAsia="cs-CZ"/>
        </w:rPr>
        <w:drawing>
          <wp:inline distT="0" distB="0" distL="0" distR="0">
            <wp:extent cx="5486400" cy="3200400"/>
            <wp:effectExtent l="0" t="0" r="1905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6244" w:rsidRDefault="003E4944">
      <w:r>
        <w:t>V roce 2017 se účastnilo konference více sester s praxí nad 20 let.</w:t>
      </w:r>
    </w:p>
    <w:p w:rsidR="003E4944" w:rsidRDefault="003E4944">
      <w:pPr>
        <w:rPr>
          <w:b/>
          <w:bCs/>
          <w:u w:val="single"/>
          <w:lang w:val="pl-PL"/>
        </w:rPr>
      </w:pPr>
    </w:p>
    <w:p w:rsidR="00546244" w:rsidRPr="00672742" w:rsidRDefault="00906DBA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Myslíte si, že má mít všeobecná sestra pro získání kvalifikace</w:t>
      </w:r>
      <w:r w:rsidR="00751F29">
        <w:rPr>
          <w:b/>
          <w:bCs/>
          <w:u w:val="single"/>
          <w:lang w:val="pl-PL"/>
        </w:rPr>
        <w:t xml:space="preserve"> vzdělání </w:t>
      </w:r>
    </w:p>
    <w:p w:rsidR="00546244" w:rsidRDefault="00906DBA">
      <w:r>
        <w:rPr>
          <w:noProof/>
          <w:lang w:eastAsia="cs-CZ"/>
        </w:rPr>
        <w:drawing>
          <wp:inline distT="0" distB="0" distL="0" distR="0">
            <wp:extent cx="5486400" cy="3200400"/>
            <wp:effectExtent l="0" t="0" r="19050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6DBA" w:rsidRDefault="00906DBA">
      <w:r>
        <w:t xml:space="preserve">Uvedené výsledky odpovídají věkové struktuře </w:t>
      </w:r>
      <w:r w:rsidR="00751F29">
        <w:t>účastníků</w:t>
      </w:r>
      <w:r>
        <w:t xml:space="preserve">. </w:t>
      </w:r>
    </w:p>
    <w:p w:rsidR="00546244" w:rsidRPr="00672742" w:rsidRDefault="000C769C">
      <w:pPr>
        <w:rPr>
          <w:u w:val="single"/>
        </w:rPr>
      </w:pPr>
      <w:r>
        <w:rPr>
          <w:b/>
          <w:bCs/>
          <w:u w:val="single"/>
          <w:lang w:val="pl-PL"/>
        </w:rPr>
        <w:lastRenderedPageBreak/>
        <w:t>K získání specializa</w:t>
      </w:r>
      <w:r w:rsidR="00906DBA">
        <w:rPr>
          <w:b/>
          <w:bCs/>
          <w:u w:val="single"/>
          <w:lang w:val="pl-PL"/>
        </w:rPr>
        <w:t>ce upřednostňujete</w:t>
      </w:r>
    </w:p>
    <w:p w:rsidR="00546244" w:rsidRDefault="00751F29">
      <w:r>
        <w:rPr>
          <w:noProof/>
          <w:lang w:eastAsia="cs-CZ"/>
        </w:rPr>
        <w:drawing>
          <wp:inline distT="0" distB="0" distL="0" distR="0">
            <wp:extent cx="4714875" cy="2038350"/>
            <wp:effectExtent l="0" t="0" r="9525" b="1905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6244" w:rsidRDefault="00751F29" w:rsidP="00751F29">
      <w:pPr>
        <w:jc w:val="both"/>
      </w:pPr>
      <w:r>
        <w:t>Výsledky této otázky mohou být ovlivněny věkovou strukturou dotazovaných. Nicméně i v</w:t>
      </w:r>
      <w:r w:rsidR="000C769C">
        <w:t> </w:t>
      </w:r>
      <w:r>
        <w:t>odpovědích</w:t>
      </w:r>
      <w:r w:rsidR="000C769C">
        <w:t>,</w:t>
      </w:r>
      <w:r>
        <w:t xml:space="preserve"> kdy účastnici uvádí “kombinace všeho je možná“ svědčí o tom, že magisterské studium bude i v perioperační péči zajímavé.</w:t>
      </w:r>
    </w:p>
    <w:p w:rsidR="00384CCA" w:rsidRDefault="00672742">
      <w:pPr>
        <w:rPr>
          <w:bCs/>
          <w:lang w:val="pl-PL"/>
        </w:rPr>
      </w:pPr>
      <w:r>
        <w:rPr>
          <w:bCs/>
          <w:lang w:val="pl-PL"/>
        </w:rPr>
        <w:t xml:space="preserve"> </w:t>
      </w:r>
    </w:p>
    <w:p w:rsidR="003C132C" w:rsidRDefault="00751F29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M</w:t>
      </w:r>
      <w:r w:rsidR="00384CCA">
        <w:rPr>
          <w:b/>
          <w:bCs/>
          <w:u w:val="single"/>
          <w:lang w:val="pl-PL"/>
        </w:rPr>
        <w:t>y</w:t>
      </w:r>
      <w:r>
        <w:rPr>
          <w:b/>
          <w:bCs/>
          <w:u w:val="single"/>
          <w:lang w:val="pl-PL"/>
        </w:rPr>
        <w:t>slíte si, že má mít sestra před nástupem na operační sál praxi na lůžkovém oddělení</w:t>
      </w:r>
    </w:p>
    <w:p w:rsidR="00384CCA" w:rsidRDefault="00384CCA">
      <w:pPr>
        <w:rPr>
          <w:b/>
          <w:bCs/>
          <w:u w:val="single"/>
          <w:lang w:val="pl-PL"/>
        </w:rPr>
      </w:pPr>
      <w:r>
        <w:rPr>
          <w:b/>
          <w:bCs/>
          <w:noProof/>
          <w:lang w:eastAsia="cs-CZ"/>
        </w:rPr>
        <w:drawing>
          <wp:inline distT="0" distB="0" distL="0" distR="0" wp14:anchorId="511AB05C" wp14:editId="07ECA134">
            <wp:extent cx="3771900" cy="1247775"/>
            <wp:effectExtent l="0" t="0" r="19050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4CCA" w:rsidRPr="00687A47" w:rsidRDefault="00384CCA">
      <w:pPr>
        <w:rPr>
          <w:b/>
          <w:bCs/>
          <w:u w:val="single"/>
          <w:lang w:val="pt-BR"/>
        </w:rPr>
      </w:pPr>
      <w:r>
        <w:rPr>
          <w:b/>
          <w:bCs/>
          <w:u w:val="single"/>
          <w:lang w:val="pl-PL"/>
        </w:rPr>
        <w:t>Pokud ano tak kolik má mít let praxe</w:t>
      </w:r>
    </w:p>
    <w:p w:rsidR="003C132C" w:rsidRDefault="00384CCA">
      <w:pPr>
        <w:rPr>
          <w:b/>
          <w:bCs/>
          <w:lang w:val="pt-BR"/>
        </w:rPr>
      </w:pPr>
      <w:r>
        <w:rPr>
          <w:b/>
          <w:bCs/>
          <w:noProof/>
          <w:u w:val="single"/>
          <w:lang w:eastAsia="cs-CZ"/>
        </w:rPr>
        <w:drawing>
          <wp:inline distT="0" distB="0" distL="0" distR="0" wp14:anchorId="42E594D1" wp14:editId="7C8AF575">
            <wp:extent cx="4476750" cy="1952625"/>
            <wp:effectExtent l="0" t="0" r="19050" b="95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132C" w:rsidRPr="00384CCA" w:rsidRDefault="00384CCA">
      <w:pPr>
        <w:rPr>
          <w:bCs/>
          <w:lang w:val="pt-BR"/>
        </w:rPr>
      </w:pPr>
      <w:r w:rsidRPr="00384CCA">
        <w:rPr>
          <w:bCs/>
          <w:lang w:val="pt-BR"/>
        </w:rPr>
        <w:t xml:space="preserve">Z výsledků vyplývá, že navazujííc magisterský program v perioperační péči </w:t>
      </w:r>
      <w:r>
        <w:rPr>
          <w:bCs/>
          <w:lang w:val="pt-BR"/>
        </w:rPr>
        <w:t xml:space="preserve"> určený pro absolventy bakalářského studia a bez praxe u lůžka nevnímají účastníci pozitivně. </w:t>
      </w:r>
    </w:p>
    <w:p w:rsidR="003C132C" w:rsidRDefault="003C132C">
      <w:pPr>
        <w:rPr>
          <w:b/>
          <w:bCs/>
          <w:lang w:val="pt-BR"/>
        </w:rPr>
      </w:pPr>
    </w:p>
    <w:p w:rsidR="003C132C" w:rsidRDefault="003C132C">
      <w:pPr>
        <w:rPr>
          <w:b/>
          <w:bCs/>
          <w:lang w:val="pt-BR"/>
        </w:rPr>
      </w:pPr>
    </w:p>
    <w:p w:rsidR="003C132C" w:rsidRPr="00687A47" w:rsidRDefault="00384CCA">
      <w:pPr>
        <w:rPr>
          <w:b/>
          <w:bCs/>
          <w:u w:val="single"/>
          <w:lang w:val="pt-BR"/>
        </w:rPr>
      </w:pPr>
      <w:r>
        <w:rPr>
          <w:b/>
          <w:bCs/>
          <w:u w:val="single"/>
          <w:lang w:val="pl-PL"/>
        </w:rPr>
        <w:lastRenderedPageBreak/>
        <w:t>Vmínáte povinnost celoživotního vzdělávání pozitivně</w:t>
      </w:r>
    </w:p>
    <w:p w:rsidR="00D02FAC" w:rsidRDefault="00D02FAC">
      <w:pPr>
        <w:rPr>
          <w:b/>
          <w:bCs/>
          <w:lang w:val="pt-BR"/>
        </w:rPr>
      </w:pPr>
    </w:p>
    <w:p w:rsidR="00D02FAC" w:rsidRDefault="00384CCA">
      <w:pPr>
        <w:rPr>
          <w:b/>
          <w:bCs/>
          <w:lang w:val="pt-BR"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5057775" cy="2790825"/>
            <wp:effectExtent l="0" t="0" r="9525" b="952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2FAC" w:rsidRDefault="00D02FAC">
      <w:pPr>
        <w:rPr>
          <w:b/>
          <w:bCs/>
          <w:lang w:val="pt-BR"/>
        </w:rPr>
      </w:pPr>
    </w:p>
    <w:p w:rsidR="00776F92" w:rsidRDefault="00776F92">
      <w:pPr>
        <w:rPr>
          <w:b/>
          <w:bCs/>
          <w:lang w:val="pt-BR"/>
        </w:rPr>
      </w:pPr>
    </w:p>
    <w:p w:rsidR="00776F92" w:rsidRDefault="00776F92">
      <w:pPr>
        <w:rPr>
          <w:b/>
          <w:bCs/>
          <w:lang w:val="pt-BR"/>
        </w:rPr>
      </w:pPr>
    </w:p>
    <w:p w:rsidR="00776F92" w:rsidRDefault="00776F92">
      <w:pPr>
        <w:rPr>
          <w:b/>
          <w:bCs/>
          <w:lang w:val="pt-BR"/>
        </w:rPr>
      </w:pPr>
    </w:p>
    <w:p w:rsidR="00D02FAC" w:rsidRDefault="00384CCA">
      <w:pPr>
        <w:rPr>
          <w:b/>
          <w:bCs/>
          <w:lang w:val="pt-BR"/>
        </w:rPr>
      </w:pPr>
      <w:r>
        <w:rPr>
          <w:b/>
          <w:bCs/>
          <w:lang w:val="pt-BR"/>
        </w:rPr>
        <w:t>Budete se vzdělávat, i když nebude povinný kreditní systém</w:t>
      </w:r>
    </w:p>
    <w:p w:rsidR="00D02FAC" w:rsidRDefault="00384CCA">
      <w:pPr>
        <w:rPr>
          <w:b/>
          <w:bCs/>
          <w:lang w:val="pt-BR"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5057775" cy="2295525"/>
            <wp:effectExtent l="0" t="0" r="9525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2FAC" w:rsidRDefault="00D02FAC">
      <w:pPr>
        <w:rPr>
          <w:b/>
          <w:bCs/>
          <w:lang w:val="pt-BR"/>
        </w:rPr>
      </w:pPr>
    </w:p>
    <w:p w:rsidR="00D02FAC" w:rsidRPr="00687A47" w:rsidRDefault="00776F92">
      <w:pPr>
        <w:rPr>
          <w:bCs/>
          <w:lang w:val="pt-BR"/>
        </w:rPr>
      </w:pPr>
      <w:r>
        <w:rPr>
          <w:bCs/>
          <w:lang w:val="pt-BR"/>
        </w:rPr>
        <w:t>Je pozitivní, že l když celoživotní vzdělávání vnímá negativně 13% účastníků</w:t>
      </w:r>
      <w:r w:rsidR="000C769C">
        <w:rPr>
          <w:bCs/>
          <w:lang w:val="pt-BR"/>
        </w:rPr>
        <w:t>,</w:t>
      </w:r>
      <w:r>
        <w:rPr>
          <w:bCs/>
          <w:lang w:val="pt-BR"/>
        </w:rPr>
        <w:t xml:space="preserve"> tak pouze 3% uvádí, že po zrušení kreditního systému se</w:t>
      </w:r>
      <w:r w:rsidR="000C769C">
        <w:rPr>
          <w:bCs/>
          <w:lang w:val="pt-BR"/>
        </w:rPr>
        <w:t xml:space="preserve"> </w:t>
      </w:r>
      <w:r>
        <w:rPr>
          <w:bCs/>
          <w:lang w:val="pt-BR"/>
        </w:rPr>
        <w:t xml:space="preserve">již nebudou chtít vzdělávat. </w:t>
      </w:r>
    </w:p>
    <w:p w:rsidR="00D02FAC" w:rsidRDefault="00D02FAC">
      <w:pPr>
        <w:rPr>
          <w:b/>
          <w:bCs/>
          <w:lang w:val="pt-BR"/>
        </w:rPr>
      </w:pPr>
    </w:p>
    <w:p w:rsidR="00D02FAC" w:rsidRDefault="00776F92">
      <w:pPr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>Jak vnímáte prezentaci sesterské profese ze strany</w:t>
      </w:r>
    </w:p>
    <w:p w:rsidR="00D02FAC" w:rsidRDefault="00776F92">
      <w:pPr>
        <w:rPr>
          <w:b/>
          <w:bCs/>
          <w:lang w:val="pt-BR"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5705475" cy="3219450"/>
            <wp:effectExtent l="0" t="0" r="9525" b="1905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6F92" w:rsidRDefault="00776F92">
      <w:pPr>
        <w:rPr>
          <w:b/>
          <w:bCs/>
          <w:lang w:val="pt-BR"/>
        </w:rPr>
      </w:pPr>
    </w:p>
    <w:p w:rsidR="00776F92" w:rsidRPr="00776F92" w:rsidRDefault="00776F92">
      <w:pPr>
        <w:rPr>
          <w:bCs/>
          <w:lang w:val="pt-BR"/>
        </w:rPr>
      </w:pPr>
      <w:r w:rsidRPr="00776F92">
        <w:rPr>
          <w:bCs/>
          <w:lang w:val="pt-BR"/>
        </w:rPr>
        <w:t xml:space="preserve">Při vyhodncoení těchto odpovědí lze pozitvně hodnotit názor účastníků na své zaměstnavatele </w:t>
      </w:r>
      <w:r>
        <w:rPr>
          <w:bCs/>
          <w:lang w:val="pt-BR"/>
        </w:rPr>
        <w:t xml:space="preserve"> a také na samotné sestry jako jednotlivce. Negativní hodnocení profesních organizací je zarážející a možná odpovídá malé propagaci jejich činnosti v této problěmatice. </w:t>
      </w:r>
    </w:p>
    <w:p w:rsidR="00511538" w:rsidRDefault="00511538"/>
    <w:p w:rsidR="00511538" w:rsidRDefault="00511538" w:rsidP="00511538">
      <w:pPr>
        <w:jc w:val="both"/>
      </w:pPr>
      <w:r>
        <w:t>Další část dotazů směřoval na zajištění bezpečnosti při výkonu perioperační péče, a to jak po stránce používání a znalosti ochranných pomůcek</w:t>
      </w:r>
      <w:r w:rsidR="000C769C">
        <w:t>,</w:t>
      </w:r>
      <w:r>
        <w:t xml:space="preserve"> tak i na pracovní podmínky. Výsledky odpovědí na jednotlivé otázky najdete v přiloženém souboru a </w:t>
      </w:r>
      <w:r w:rsidR="000C769C">
        <w:t xml:space="preserve">do </w:t>
      </w:r>
      <w:r>
        <w:t xml:space="preserve">tohoto shrnutí jsou zařazeny jen některé z nich. </w:t>
      </w:r>
    </w:p>
    <w:p w:rsidR="00687A47" w:rsidRPr="00FE6F97" w:rsidRDefault="00FE6F97">
      <w:pPr>
        <w:rPr>
          <w:b/>
          <w:u w:val="single"/>
        </w:rPr>
      </w:pPr>
      <w:r w:rsidRPr="00FE6F97">
        <w:rPr>
          <w:b/>
          <w:u w:val="single"/>
        </w:rPr>
        <w:t>Používáte operační pláště bez uzavřeného sterilního zadního dílu</w:t>
      </w:r>
    </w:p>
    <w:p w:rsidR="00F860F9" w:rsidRDefault="00FE6F97">
      <w:pPr>
        <w:rPr>
          <w:u w:val="single"/>
        </w:rPr>
      </w:pPr>
      <w:r>
        <w:rPr>
          <w:noProof/>
          <w:u w:val="single"/>
          <w:lang w:eastAsia="cs-CZ"/>
        </w:rPr>
        <w:drawing>
          <wp:inline distT="0" distB="0" distL="0" distR="0">
            <wp:extent cx="4648200" cy="1885950"/>
            <wp:effectExtent l="0" t="0" r="19050" b="1905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60F9" w:rsidRPr="00FE6F97" w:rsidRDefault="00FE6F97">
      <w:r w:rsidRPr="00FE6F97">
        <w:t xml:space="preserve">Je potěšující, že za rok došlo ke zlepšení situace v této </w:t>
      </w:r>
      <w:r>
        <w:t>problematice, a to o 10%</w:t>
      </w:r>
      <w:r w:rsidRPr="00FE6F97">
        <w:t xml:space="preserve"> </w:t>
      </w:r>
      <w:r>
        <w:t xml:space="preserve">snížení pozitivních odpovědí. </w:t>
      </w:r>
    </w:p>
    <w:p w:rsidR="00F860F9" w:rsidRPr="00FE6F97" w:rsidRDefault="00FE6F97">
      <w:pPr>
        <w:rPr>
          <w:b/>
          <w:u w:val="single"/>
        </w:rPr>
      </w:pPr>
      <w:r w:rsidRPr="00FE6F97">
        <w:rPr>
          <w:b/>
          <w:u w:val="single"/>
        </w:rPr>
        <w:lastRenderedPageBreak/>
        <w:t>Máte k d</w:t>
      </w:r>
      <w:r w:rsidR="000C769C">
        <w:rPr>
          <w:b/>
          <w:u w:val="single"/>
        </w:rPr>
        <w:t>ispozici další ochranné pomůcky</w:t>
      </w:r>
      <w:r w:rsidRPr="00FE6F97">
        <w:rPr>
          <w:b/>
          <w:u w:val="single"/>
        </w:rPr>
        <w:t>?</w:t>
      </w:r>
    </w:p>
    <w:p w:rsidR="00F860F9" w:rsidRDefault="00FE6F97">
      <w:pPr>
        <w:rPr>
          <w:u w:val="single"/>
        </w:rPr>
      </w:pPr>
      <w:r>
        <w:rPr>
          <w:noProof/>
          <w:u w:val="single"/>
          <w:lang w:eastAsia="cs-CZ"/>
        </w:rPr>
        <w:drawing>
          <wp:inline distT="0" distB="0" distL="0" distR="0">
            <wp:extent cx="4676775" cy="2143125"/>
            <wp:effectExtent l="0" t="0" r="9525" b="952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60F9" w:rsidRPr="00FE6F97" w:rsidRDefault="00FE6F97">
      <w:r w:rsidRPr="00FE6F97">
        <w:t>Kromě ochranných brýlí</w:t>
      </w:r>
      <w:r w:rsidR="000C769C">
        <w:t>,</w:t>
      </w:r>
      <w:r w:rsidRPr="00FE6F97">
        <w:t xml:space="preserve"> kde je procento kladných odpovědí nižší o 6 %</w:t>
      </w:r>
      <w:r w:rsidR="000C769C">
        <w:t>,</w:t>
      </w:r>
      <w:r w:rsidRPr="00FE6F97">
        <w:t xml:space="preserve"> došlo k navýšení </w:t>
      </w:r>
      <w:r>
        <w:t xml:space="preserve">ochranných pomůcek, které mají perioperační sestry k dispozici. </w:t>
      </w:r>
    </w:p>
    <w:p w:rsidR="00E67966" w:rsidRDefault="00E67966">
      <w:pPr>
        <w:rPr>
          <w:b/>
          <w:u w:val="single"/>
        </w:rPr>
      </w:pPr>
    </w:p>
    <w:p w:rsidR="00FE6F97" w:rsidRPr="00E67966" w:rsidRDefault="00E67966">
      <w:pPr>
        <w:rPr>
          <w:b/>
          <w:u w:val="single"/>
        </w:rPr>
      </w:pPr>
      <w:r w:rsidRPr="00E67966">
        <w:rPr>
          <w:b/>
          <w:u w:val="single"/>
        </w:rPr>
        <w:t>Máte k di</w:t>
      </w:r>
      <w:r>
        <w:rPr>
          <w:b/>
          <w:u w:val="single"/>
        </w:rPr>
        <w:t>s</w:t>
      </w:r>
      <w:r w:rsidRPr="00E67966">
        <w:rPr>
          <w:b/>
          <w:u w:val="single"/>
        </w:rPr>
        <w:t>pozici</w:t>
      </w:r>
    </w:p>
    <w:p w:rsidR="00FE6F97" w:rsidRDefault="00E67966">
      <w:pPr>
        <w:rPr>
          <w:u w:val="single"/>
        </w:rPr>
      </w:pPr>
      <w:r>
        <w:rPr>
          <w:noProof/>
          <w:u w:val="single"/>
          <w:lang w:eastAsia="cs-CZ"/>
        </w:rPr>
        <w:drawing>
          <wp:inline distT="0" distB="0" distL="0" distR="0">
            <wp:extent cx="5048250" cy="2162175"/>
            <wp:effectExtent l="0" t="0" r="19050" b="952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E6F97" w:rsidRPr="00E67966" w:rsidRDefault="00E67966">
      <w:r w:rsidRPr="00E67966">
        <w:t xml:space="preserve">Myslím si, </w:t>
      </w:r>
      <w:r>
        <w:t>ž</w:t>
      </w:r>
      <w:r w:rsidRPr="00E67966">
        <w:t xml:space="preserve">e komentář k těmto výsledkům j zbytečný. V této oblasti je pořád co napravovat. </w:t>
      </w:r>
    </w:p>
    <w:p w:rsidR="00F860F9" w:rsidRDefault="00F860F9"/>
    <w:p w:rsidR="00F860F9" w:rsidRDefault="00F860F9" w:rsidP="00F860F9">
      <w:pPr>
        <w:jc w:val="both"/>
      </w:pPr>
      <w:r>
        <w:t xml:space="preserve">Všechny položené otázky a odpovědi </w:t>
      </w:r>
      <w:r w:rsidR="001F02C5">
        <w:t xml:space="preserve">jsou uvedeny </w:t>
      </w:r>
      <w:r>
        <w:t xml:space="preserve">v příloze. Určitě v nich naleznete zajímavé informace a náměty k zamyšlení. </w:t>
      </w:r>
      <w:r w:rsidR="001F02C5">
        <w:t>S</w:t>
      </w:r>
      <w:r>
        <w:t xml:space="preserve">amozřejmě je můžete použít pro své potřeby. </w:t>
      </w:r>
    </w:p>
    <w:p w:rsidR="001F02C5" w:rsidRDefault="001F02C5" w:rsidP="00F860F9">
      <w:pPr>
        <w:jc w:val="both"/>
      </w:pPr>
      <w:r>
        <w:t>Děkujeme všem, kteří se tohoto interaktivního bloku aktivně zúčastnili</w:t>
      </w:r>
      <w:r w:rsidR="00656CC8">
        <w:t>. Díky nim máme možnost zjistit zajímavé informace o dění v perioperační péči.</w:t>
      </w:r>
    </w:p>
    <w:p w:rsidR="00F860F9" w:rsidRDefault="00F860F9"/>
    <w:p w:rsidR="00F860F9" w:rsidRDefault="00656CC8">
      <w:r>
        <w:t>Zpracovala: Mgr. Mičudová</w:t>
      </w:r>
    </w:p>
    <w:p w:rsidR="00FE6F97" w:rsidRPr="00F860F9" w:rsidRDefault="000C769C">
      <w:bookmarkStart w:id="0" w:name="_GoBack"/>
      <w:bookmarkEnd w:id="0"/>
      <w:r>
        <w:t>7. 6. 2017</w:t>
      </w:r>
    </w:p>
    <w:sectPr w:rsidR="00FE6F97" w:rsidRPr="00F8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5E09"/>
    <w:multiLevelType w:val="hybridMultilevel"/>
    <w:tmpl w:val="972861EA"/>
    <w:lvl w:ilvl="0" w:tplc="CDD292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2B0204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276B8C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7EC09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B0886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63AA04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F90D2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8C4D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BDC2BF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D3679"/>
    <w:multiLevelType w:val="hybridMultilevel"/>
    <w:tmpl w:val="081A25E6"/>
    <w:lvl w:ilvl="0" w:tplc="3FD2B1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75C5B3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52A5F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0A0CA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340D48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158015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1EC57A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804C2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4A829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B19ED"/>
    <w:multiLevelType w:val="hybridMultilevel"/>
    <w:tmpl w:val="9D96251C"/>
    <w:lvl w:ilvl="0" w:tplc="E716F5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FEE94A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E2E134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BB488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0EDAF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BF015F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19A4F3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3D6E8A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26066A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07140"/>
    <w:multiLevelType w:val="hybridMultilevel"/>
    <w:tmpl w:val="05981C12"/>
    <w:lvl w:ilvl="0" w:tplc="290651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736832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70EF8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C3661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B3A1C2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5F6D83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BB4EAD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C74AF8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974171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A6254"/>
    <w:multiLevelType w:val="hybridMultilevel"/>
    <w:tmpl w:val="126069F0"/>
    <w:lvl w:ilvl="0" w:tplc="9A6EE9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AC934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A448AC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ABE583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19C4A9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A369A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34242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F9049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3FEFC1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86B6D"/>
    <w:multiLevelType w:val="hybridMultilevel"/>
    <w:tmpl w:val="0808823C"/>
    <w:lvl w:ilvl="0" w:tplc="BF687E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30ADC6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AC6E7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F28819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AB2A8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BE0EA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350C05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E3C488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8ED31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0191E"/>
    <w:multiLevelType w:val="hybridMultilevel"/>
    <w:tmpl w:val="B5A28058"/>
    <w:lvl w:ilvl="0" w:tplc="418281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600716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61E60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E50036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A30852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D0A673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E92EFF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B1CD7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86E7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D4E80"/>
    <w:multiLevelType w:val="hybridMultilevel"/>
    <w:tmpl w:val="A608F6FA"/>
    <w:lvl w:ilvl="0" w:tplc="8C38E04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430CD32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A0160328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79C04222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9D86C5FA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98847572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098460F0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7652A63A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A4C001F0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B3A7776"/>
    <w:multiLevelType w:val="hybridMultilevel"/>
    <w:tmpl w:val="9DC66300"/>
    <w:lvl w:ilvl="0" w:tplc="774AB2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82A397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C14BFA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8CCB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E6FCA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29A8C9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BCA598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37820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B50F8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5347C5"/>
    <w:multiLevelType w:val="hybridMultilevel"/>
    <w:tmpl w:val="29FE5CF0"/>
    <w:lvl w:ilvl="0" w:tplc="C1E86C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CFA610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90AC9E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1A26DD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7001CF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1D04C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B38FE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47E99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51E1A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B04A0"/>
    <w:multiLevelType w:val="hybridMultilevel"/>
    <w:tmpl w:val="4A7CE0FE"/>
    <w:lvl w:ilvl="0" w:tplc="26828A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3FE4AF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24ACFE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F74F4F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FB8D70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FA38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64412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6AA4F7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ECE1D4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1C4011"/>
    <w:multiLevelType w:val="hybridMultilevel"/>
    <w:tmpl w:val="1E5E501A"/>
    <w:lvl w:ilvl="0" w:tplc="8A4E3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40A03E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4A0FC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17015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5FC946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B0807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06C81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09CFC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AD6949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48"/>
    <w:rsid w:val="000C769C"/>
    <w:rsid w:val="001F02C5"/>
    <w:rsid w:val="00292048"/>
    <w:rsid w:val="00384CCA"/>
    <w:rsid w:val="003A1CB0"/>
    <w:rsid w:val="003B32D9"/>
    <w:rsid w:val="003C132C"/>
    <w:rsid w:val="003E4944"/>
    <w:rsid w:val="004321DE"/>
    <w:rsid w:val="00460A3C"/>
    <w:rsid w:val="0050216C"/>
    <w:rsid w:val="00511538"/>
    <w:rsid w:val="00530496"/>
    <w:rsid w:val="00546244"/>
    <w:rsid w:val="00547494"/>
    <w:rsid w:val="005571D3"/>
    <w:rsid w:val="00640203"/>
    <w:rsid w:val="00656CC8"/>
    <w:rsid w:val="00664BC8"/>
    <w:rsid w:val="00672742"/>
    <w:rsid w:val="00687A47"/>
    <w:rsid w:val="006D7743"/>
    <w:rsid w:val="00751F29"/>
    <w:rsid w:val="00776F92"/>
    <w:rsid w:val="0089623E"/>
    <w:rsid w:val="00906DBA"/>
    <w:rsid w:val="009633C0"/>
    <w:rsid w:val="00963D7B"/>
    <w:rsid w:val="00A231A8"/>
    <w:rsid w:val="00A577CB"/>
    <w:rsid w:val="00BA25C5"/>
    <w:rsid w:val="00C9207F"/>
    <w:rsid w:val="00D02FAC"/>
    <w:rsid w:val="00D839E9"/>
    <w:rsid w:val="00E67966"/>
    <w:rsid w:val="00EA2D03"/>
    <w:rsid w:val="00EB4416"/>
    <w:rsid w:val="00EC0BA3"/>
    <w:rsid w:val="00F860F9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0A622-9C62-41E7-A4C6-E87524FB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10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27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64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3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19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970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36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84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8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0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1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7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5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2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9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8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2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8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2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67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2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7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63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5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2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2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7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1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2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2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8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1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0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1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5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0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3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3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7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48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87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32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9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3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77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052001926725439E-2"/>
          <c:y val="5.2308691095591851E-2"/>
          <c:w val="0.71918703982226939"/>
          <c:h val="0.829662316945364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centrálních</c:v>
                </c:pt>
              </c:strCache>
            </c:strRef>
          </c:tx>
          <c:invertIfNegative val="0"/>
          <c:cat>
            <c:numRef>
              <c:f>List1!$A$2:$A$3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List1!$B$2:$B$3</c:f>
              <c:numCache>
                <c:formatCode>0%</c:formatCode>
                <c:ptCount val="2"/>
                <c:pt idx="0">
                  <c:v>0.69</c:v>
                </c:pt>
                <c:pt idx="1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oborových</c:v>
                </c:pt>
              </c:strCache>
            </c:strRef>
          </c:tx>
          <c:invertIfNegative val="0"/>
          <c:cat>
            <c:numRef>
              <c:f>List1!$A$2:$A$3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List1!$C$2:$C$3</c:f>
              <c:numCache>
                <c:formatCode>0%</c:formatCode>
                <c:ptCount val="2"/>
                <c:pt idx="0">
                  <c:v>0.31</c:v>
                </c:pt>
                <c:pt idx="1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995424"/>
        <c:axId val="473993856"/>
        <c:axId val="0"/>
      </c:bar3DChart>
      <c:catAx>
        <c:axId val="47399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3993856"/>
        <c:crosses val="autoZero"/>
        <c:auto val="1"/>
        <c:lblAlgn val="ctr"/>
        <c:lblOffset val="100"/>
        <c:noMultiLvlLbl val="0"/>
      </c:catAx>
      <c:valAx>
        <c:axId val="473993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7399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List1!$A$2:$A$3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21</c:v>
                </c:pt>
                <c:pt idx="1">
                  <c:v>79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List1!$A$2:$A$3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>
                  <c:v>13</c:v>
                </c:pt>
                <c:pt idx="1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473456"/>
        <c:axId val="473473064"/>
        <c:axId val="0"/>
      </c:bar3DChart>
      <c:catAx>
        <c:axId val="473473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3473064"/>
        <c:crosses val="autoZero"/>
        <c:auto val="1"/>
        <c:lblAlgn val="ctr"/>
        <c:lblOffset val="100"/>
        <c:noMultiLvlLbl val="0"/>
      </c:catAx>
      <c:valAx>
        <c:axId val="473473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347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ochranné brýle</c:v>
                </c:pt>
                <c:pt idx="1">
                  <c:v>límce</c:v>
                </c:pt>
                <c:pt idx="2">
                  <c:v>štíty</c:v>
                </c:pt>
                <c:pt idx="3">
                  <c:v>zástěry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24</c:v>
                </c:pt>
                <c:pt idx="1">
                  <c:v>20</c:v>
                </c:pt>
                <c:pt idx="2">
                  <c:v>18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ochranné brýle</c:v>
                </c:pt>
                <c:pt idx="1">
                  <c:v>límce</c:v>
                </c:pt>
                <c:pt idx="2">
                  <c:v>štíty</c:v>
                </c:pt>
                <c:pt idx="3">
                  <c:v>zástěry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18</c:v>
                </c:pt>
                <c:pt idx="1">
                  <c:v>23</c:v>
                </c:pt>
                <c:pt idx="2">
                  <c:v>19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048808"/>
        <c:axId val="473049984"/>
        <c:axId val="0"/>
      </c:bar3DChart>
      <c:catAx>
        <c:axId val="473048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3049984"/>
        <c:crosses val="autoZero"/>
        <c:auto val="1"/>
        <c:lblAlgn val="ctr"/>
        <c:lblOffset val="100"/>
        <c:noMultiLvlLbl val="0"/>
      </c:catAx>
      <c:valAx>
        <c:axId val="47304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3048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ano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nápoje</c:v>
                </c:pt>
                <c:pt idx="1">
                  <c:v>dovoz stravy</c:v>
                </c:pt>
                <c:pt idx="2">
                  <c:v>odpočinkovou místnost</c:v>
                </c:pt>
                <c:pt idx="3">
                  <c:v>možnost si zacvičit</c:v>
                </c:pt>
                <c:pt idx="4">
                  <c:v>společné mimopracovní aktivity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69</c:v>
                </c:pt>
                <c:pt idx="1">
                  <c:v>80</c:v>
                </c:pt>
                <c:pt idx="2">
                  <c:v>82</c:v>
                </c:pt>
                <c:pt idx="3">
                  <c:v>25</c:v>
                </c:pt>
                <c:pt idx="4">
                  <c:v>77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nápoje</c:v>
                </c:pt>
                <c:pt idx="1">
                  <c:v>dovoz stravy</c:v>
                </c:pt>
                <c:pt idx="2">
                  <c:v>odpočinkovou místnost</c:v>
                </c:pt>
                <c:pt idx="3">
                  <c:v>možnost si zacvičit</c:v>
                </c:pt>
                <c:pt idx="4">
                  <c:v>společné mimopracovní aktivity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31</c:v>
                </c:pt>
                <c:pt idx="1">
                  <c:v>20</c:v>
                </c:pt>
                <c:pt idx="2">
                  <c:v>18</c:v>
                </c:pt>
                <c:pt idx="3">
                  <c:v>75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051160"/>
        <c:axId val="473049200"/>
        <c:axId val="0"/>
      </c:bar3DChart>
      <c:catAx>
        <c:axId val="473051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3049200"/>
        <c:crosses val="autoZero"/>
        <c:auto val="1"/>
        <c:lblAlgn val="ctr"/>
        <c:lblOffset val="100"/>
        <c:noMultiLvlLbl val="0"/>
      </c:catAx>
      <c:valAx>
        <c:axId val="47304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3051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do 5 let</c:v>
                </c:pt>
              </c:strCache>
            </c:strRef>
          </c:tx>
          <c:invertIfNegative val="0"/>
          <c:cat>
            <c:numRef>
              <c:f>List1!$A$2:$A$3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List1!$B$2:$B$3</c:f>
              <c:numCache>
                <c:formatCode>0%</c:formatCode>
                <c:ptCount val="2"/>
                <c:pt idx="0">
                  <c:v>0.13</c:v>
                </c:pt>
                <c:pt idx="1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do 10 let</c:v>
                </c:pt>
              </c:strCache>
            </c:strRef>
          </c:tx>
          <c:invertIfNegative val="0"/>
          <c:cat>
            <c:numRef>
              <c:f>List1!$A$2:$A$3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List1!$C$2:$C$3</c:f>
              <c:numCache>
                <c:formatCode>0%</c:formatCode>
                <c:ptCount val="2"/>
                <c:pt idx="0">
                  <c:v>0.13</c:v>
                </c:pt>
                <c:pt idx="1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do 15 let</c:v>
                </c:pt>
              </c:strCache>
            </c:strRef>
          </c:tx>
          <c:invertIfNegative val="0"/>
          <c:cat>
            <c:numRef>
              <c:f>List1!$A$2:$A$3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List1!$D$2:$D$3</c:f>
              <c:numCache>
                <c:formatCode>0%</c:formatCode>
                <c:ptCount val="2"/>
                <c:pt idx="0">
                  <c:v>0.25</c:v>
                </c:pt>
                <c:pt idx="1">
                  <c:v>0.17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do 20 let</c:v>
                </c:pt>
              </c:strCache>
            </c:strRef>
          </c:tx>
          <c:invertIfNegative val="0"/>
          <c:cat>
            <c:numRef>
              <c:f>List1!$A$2:$A$3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List1!$E$2:$E$3</c:f>
              <c:numCache>
                <c:formatCode>0%</c:formatCode>
                <c:ptCount val="2"/>
                <c:pt idx="0">
                  <c:v>0.49</c:v>
                </c:pt>
                <c:pt idx="1">
                  <c:v>0.63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997776"/>
        <c:axId val="473998168"/>
        <c:axId val="0"/>
      </c:bar3DChart>
      <c:catAx>
        <c:axId val="47399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3998168"/>
        <c:crosses val="autoZero"/>
        <c:auto val="1"/>
        <c:lblAlgn val="ctr"/>
        <c:lblOffset val="100"/>
        <c:noMultiLvlLbl val="0"/>
      </c:catAx>
      <c:valAx>
        <c:axId val="473998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73997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středoškolské</c:v>
                </c:pt>
                <c:pt idx="1">
                  <c:v>vyšší odbornou školu</c:v>
                </c:pt>
                <c:pt idx="2">
                  <c:v>vysokoškolské vzdělání</c:v>
                </c:pt>
                <c:pt idx="3">
                  <c:v>kombinace všeho je možná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25</c:v>
                </c:pt>
                <c:pt idx="1">
                  <c:v>10</c:v>
                </c:pt>
                <c:pt idx="2">
                  <c:v>14</c:v>
                </c:pt>
                <c:pt idx="3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998952"/>
        <c:axId val="473999344"/>
        <c:axId val="0"/>
      </c:bar3DChart>
      <c:catAx>
        <c:axId val="473998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3999344"/>
        <c:crosses val="autoZero"/>
        <c:auto val="1"/>
        <c:lblAlgn val="ctr"/>
        <c:lblOffset val="100"/>
        <c:noMultiLvlLbl val="0"/>
      </c:catAx>
      <c:valAx>
        <c:axId val="473999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3998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specializační vzdělání</c:v>
                </c:pt>
                <c:pt idx="1">
                  <c:v>magisterské studium</c:v>
                </c:pt>
                <c:pt idx="2">
                  <c:v>kombinace všeho je možná</c:v>
                </c:pt>
              </c:strCache>
            </c:strRef>
          </c:cat>
          <c:val>
            <c:numRef>
              <c:f>List1!$B$2:$B$4</c:f>
              <c:numCache>
                <c:formatCode>0%</c:formatCode>
                <c:ptCount val="3"/>
                <c:pt idx="0">
                  <c:v>0.57999999999999996</c:v>
                </c:pt>
                <c:pt idx="1">
                  <c:v>0.01</c:v>
                </c:pt>
                <c:pt idx="2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4000128"/>
        <c:axId val="474000520"/>
        <c:axId val="0"/>
      </c:bar3DChart>
      <c:catAx>
        <c:axId val="474000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4000520"/>
        <c:crosses val="autoZero"/>
        <c:auto val="1"/>
        <c:lblAlgn val="ctr"/>
        <c:lblOffset val="100"/>
        <c:noMultiLvlLbl val="0"/>
      </c:catAx>
      <c:valAx>
        <c:axId val="474000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74000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List1!$A$2:$A$3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List1!$B$2:$B$3</c:f>
              <c:numCache>
                <c:formatCode>0%</c:formatCode>
                <c:ptCount val="2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4001304"/>
        <c:axId val="473565752"/>
        <c:axId val="0"/>
      </c:bar3DChart>
      <c:catAx>
        <c:axId val="474001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3565752"/>
        <c:crosses val="autoZero"/>
        <c:auto val="1"/>
        <c:lblAlgn val="ctr"/>
        <c:lblOffset val="100"/>
        <c:noMultiLvlLbl val="0"/>
      </c:catAx>
      <c:valAx>
        <c:axId val="473565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74001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1rok</c:v>
                </c:pt>
                <c:pt idx="1">
                  <c:v>do 3let</c:v>
                </c:pt>
                <c:pt idx="2">
                  <c:v>nad 5 let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32</c:v>
                </c:pt>
                <c:pt idx="1">
                  <c:v>65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567712"/>
        <c:axId val="473564968"/>
        <c:axId val="0"/>
      </c:bar3DChart>
      <c:catAx>
        <c:axId val="47356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3564968"/>
        <c:crosses val="autoZero"/>
        <c:auto val="1"/>
        <c:lblAlgn val="ctr"/>
        <c:lblOffset val="100"/>
        <c:noMultiLvlLbl val="0"/>
      </c:catAx>
      <c:valAx>
        <c:axId val="473564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3567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List1!$A$2:$A$3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87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566536"/>
        <c:axId val="473567320"/>
        <c:axId val="0"/>
      </c:bar3DChart>
      <c:catAx>
        <c:axId val="473566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3567320"/>
        <c:crosses val="autoZero"/>
        <c:auto val="1"/>
        <c:lblAlgn val="ctr"/>
        <c:lblOffset val="100"/>
        <c:noMultiLvlLbl val="0"/>
      </c:catAx>
      <c:valAx>
        <c:axId val="473567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3566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cat>
            <c:strRef>
              <c:f>List1!$A$2:$A$3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97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473848"/>
        <c:axId val="473472672"/>
        <c:axId val="0"/>
      </c:bar3DChart>
      <c:catAx>
        <c:axId val="473473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3472672"/>
        <c:crosses val="autoZero"/>
        <c:auto val="1"/>
        <c:lblAlgn val="ctr"/>
        <c:lblOffset val="100"/>
        <c:noMultiLvlLbl val="0"/>
      </c:catAx>
      <c:valAx>
        <c:axId val="47347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3473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pozitivně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sdělovací prostředky</c:v>
                </c:pt>
                <c:pt idx="1">
                  <c:v>profesní organizace</c:v>
                </c:pt>
                <c:pt idx="2">
                  <c:v>politiků</c:v>
                </c:pt>
                <c:pt idx="3">
                  <c:v>zaměstnavatele</c:v>
                </c:pt>
                <c:pt idx="4">
                  <c:v>ze strany sester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11</c:v>
                </c:pt>
                <c:pt idx="1">
                  <c:v>28</c:v>
                </c:pt>
                <c:pt idx="2">
                  <c:v>2</c:v>
                </c:pt>
                <c:pt idx="3">
                  <c:v>52</c:v>
                </c:pt>
                <c:pt idx="4">
                  <c:v>84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negtativně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sdělovací prostředky</c:v>
                </c:pt>
                <c:pt idx="1">
                  <c:v>profesní organizace</c:v>
                </c:pt>
                <c:pt idx="2">
                  <c:v>politiků</c:v>
                </c:pt>
                <c:pt idx="3">
                  <c:v>zaměstnavatele</c:v>
                </c:pt>
                <c:pt idx="4">
                  <c:v>ze strany sester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80</c:v>
                </c:pt>
                <c:pt idx="1">
                  <c:v>48</c:v>
                </c:pt>
                <c:pt idx="2">
                  <c:v>92</c:v>
                </c:pt>
                <c:pt idx="3">
                  <c:v>27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nemám žádný názor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sdělovací prostředky</c:v>
                </c:pt>
                <c:pt idx="1">
                  <c:v>profesní organizace</c:v>
                </c:pt>
                <c:pt idx="2">
                  <c:v>politiků</c:v>
                </c:pt>
                <c:pt idx="3">
                  <c:v>zaměstnavatele</c:v>
                </c:pt>
                <c:pt idx="4">
                  <c:v>ze strany sester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9</c:v>
                </c:pt>
                <c:pt idx="1">
                  <c:v>24</c:v>
                </c:pt>
                <c:pt idx="2">
                  <c:v>5</c:v>
                </c:pt>
                <c:pt idx="3">
                  <c:v>21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474632"/>
        <c:axId val="473471888"/>
        <c:axId val="0"/>
      </c:bar3DChart>
      <c:catAx>
        <c:axId val="473474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3471888"/>
        <c:crosses val="autoZero"/>
        <c:auto val="1"/>
        <c:lblAlgn val="ctr"/>
        <c:lblOffset val="100"/>
        <c:noMultiLvlLbl val="0"/>
      </c:catAx>
      <c:valAx>
        <c:axId val="47347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3474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Mičudová Erna</dc:creator>
  <cp:lastModifiedBy>Jaroslava</cp:lastModifiedBy>
  <cp:revision>2</cp:revision>
  <dcterms:created xsi:type="dcterms:W3CDTF">2017-06-07T17:54:00Z</dcterms:created>
  <dcterms:modified xsi:type="dcterms:W3CDTF">2017-06-07T17:54:00Z</dcterms:modified>
</cp:coreProperties>
</file>